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5323" w14:textId="77777777" w:rsidR="00353341" w:rsidRPr="00331BE4" w:rsidRDefault="009B708B" w:rsidP="00FA229A">
      <w:pPr>
        <w:spacing w:after="12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4C80251B" w14:textId="77777777" w:rsidR="00A14DDC" w:rsidRDefault="007F5DEC" w:rsidP="00FA229A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6B1C49E8" w14:textId="2EB7986A" w:rsidR="007F5DEC" w:rsidRPr="00331BE4" w:rsidRDefault="002C0821" w:rsidP="00FA229A">
      <w:pPr>
        <w:spacing w:after="12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6A7AA6" w:rsidRPr="006A7AA6">
        <w:rPr>
          <w:rFonts w:ascii="Times New Roman" w:hAnsi="Times New Roman" w:cs="Times New Roman"/>
          <w:sz w:val="24"/>
          <w:szCs w:val="24"/>
        </w:rPr>
        <w:t>32515121574</w:t>
      </w:r>
    </w:p>
    <w:p w14:paraId="374C45F6" w14:textId="41B07CEB" w:rsidR="009B708B" w:rsidRPr="00E56993" w:rsidRDefault="0002743E" w:rsidP="00FA229A">
      <w:pPr>
        <w:spacing w:before="240" w:after="24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A7AA6">
        <w:rPr>
          <w:rFonts w:ascii="Times New Roman" w:hAnsi="Times New Roman" w:cs="Times New Roman"/>
          <w:sz w:val="24"/>
          <w:szCs w:val="24"/>
        </w:rPr>
        <w:t>1</w:t>
      </w:r>
      <w:r w:rsidR="00E5699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71FBF">
        <w:rPr>
          <w:rFonts w:ascii="Times New Roman" w:hAnsi="Times New Roman" w:cs="Times New Roman"/>
          <w:sz w:val="24"/>
          <w:szCs w:val="24"/>
        </w:rPr>
        <w:t>.0</w:t>
      </w:r>
      <w:r w:rsidR="006A7AA6">
        <w:rPr>
          <w:rFonts w:ascii="Times New Roman" w:hAnsi="Times New Roman" w:cs="Times New Roman"/>
          <w:sz w:val="24"/>
          <w:szCs w:val="24"/>
        </w:rPr>
        <w:t>9</w:t>
      </w:r>
      <w:r w:rsidR="00CD4373">
        <w:rPr>
          <w:rFonts w:ascii="Times New Roman" w:hAnsi="Times New Roman" w:cs="Times New Roman"/>
          <w:sz w:val="24"/>
          <w:szCs w:val="24"/>
        </w:rPr>
        <w:t>.202</w:t>
      </w:r>
      <w:r w:rsidR="00562C99" w:rsidRPr="006A7AA6">
        <w:rPr>
          <w:rFonts w:ascii="Times New Roman" w:hAnsi="Times New Roman" w:cs="Times New Roman"/>
          <w:sz w:val="24"/>
          <w:szCs w:val="24"/>
        </w:rPr>
        <w:t>5</w:t>
      </w:r>
    </w:p>
    <w:p w14:paraId="0424D1CD" w14:textId="77777777" w:rsidR="003D2C54" w:rsidRPr="003D2C54" w:rsidRDefault="003D2C54" w:rsidP="00FA229A">
      <w:pPr>
        <w:spacing w:after="120" w:line="228" w:lineRule="auto"/>
        <w:rPr>
          <w:rFonts w:ascii="Times New Roman" w:hAnsi="Times New Roman" w:cs="Times New Roman"/>
          <w:sz w:val="23"/>
          <w:szCs w:val="23"/>
        </w:rPr>
      </w:pPr>
    </w:p>
    <w:p w14:paraId="13915A60" w14:textId="77777777" w:rsidR="00F65969" w:rsidRDefault="00BF4877" w:rsidP="00FA229A">
      <w:pPr>
        <w:spacing w:after="12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4A44D17E" w14:textId="04FF0B42" w:rsidR="006A74F4" w:rsidRPr="00ED718E" w:rsidRDefault="00F65969" w:rsidP="00FA229A">
      <w:pPr>
        <w:spacing w:after="120" w:line="228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A7AA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A7AA6" w:rsidRPr="006A6FF5">
        <w:rPr>
          <w:rFonts w:ascii="Times New Roman" w:eastAsia="Times New Roman" w:hAnsi="Times New Roman" w:cs="Times New Roman"/>
          <w:sz w:val="24"/>
          <w:szCs w:val="24"/>
        </w:rPr>
        <w:t>казание услуг по проведению аудита процессов обработки и защиты персональных данных</w:t>
      </w:r>
      <w:r w:rsidR="00FD4B7B" w:rsidRPr="00ED718E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D25A697" w14:textId="11800844" w:rsidR="002C0821" w:rsidRPr="002C0821" w:rsidRDefault="002C0821" w:rsidP="00FA229A">
      <w:pPr>
        <w:spacing w:after="120" w:line="22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(максимальная) цена:</w:t>
      </w:r>
      <w:r w:rsidRPr="00562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AA6">
        <w:rPr>
          <w:rFonts w:ascii="Times New Roman" w:eastAsia="Times New Roman" w:hAnsi="Times New Roman" w:cs="Times New Roman"/>
          <w:sz w:val="24"/>
          <w:szCs w:val="24"/>
        </w:rPr>
        <w:t>3 469 152</w:t>
      </w:r>
      <w:r w:rsidR="00871FBF" w:rsidRPr="00871FBF">
        <w:rPr>
          <w:rFonts w:ascii="Times New Roman" w:eastAsia="Times New Roman" w:hAnsi="Times New Roman" w:cs="Times New Roman"/>
          <w:bCs/>
          <w:sz w:val="24"/>
          <w:szCs w:val="24"/>
        </w:rPr>
        <w:t>,00 рублей, включая НДС</w:t>
      </w:r>
      <w:r w:rsid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874C433" w14:textId="4F8133D9" w:rsidR="004F45A0" w:rsidRPr="006A7AA6" w:rsidRDefault="004F45A0" w:rsidP="00FA229A">
      <w:pPr>
        <w:tabs>
          <w:tab w:val="num" w:pos="851"/>
        </w:tabs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6A7AA6">
        <w:rPr>
          <w:rFonts w:ascii="Times New Roman" w:eastAsia="Times New Roman" w:hAnsi="Times New Roman" w:cs="Times New Roman"/>
          <w:sz w:val="24"/>
          <w:szCs w:val="24"/>
        </w:rPr>
        <w:t>ц</w:t>
      </w:r>
      <w:r w:rsidR="006A7AA6" w:rsidRPr="006A7AA6">
        <w:rPr>
          <w:rFonts w:ascii="Times New Roman" w:eastAsia="Times New Roman" w:hAnsi="Times New Roman" w:cs="Times New Roman"/>
          <w:sz w:val="24"/>
          <w:szCs w:val="24"/>
        </w:rPr>
        <w:t>ена работ включает в себя вознаграждение Исполнителя, а также все возможные расходы, которые возникают, возникнут или могут возникнуть у Исполнителя в ходе выполнения работ по Договору. Цена работ не подлежит увеличению, в том числе в случае изменения налогового законодательства, индексов инфляции, изменения курса валют и иных обстоятельств. Превышение Исполнителем объемов работ по Договору, не подтвержденное дополнительным соглашением Сторон, не подлежит оплате Заказчиком.</w:t>
      </w:r>
    </w:p>
    <w:p w14:paraId="7297AE18" w14:textId="77777777" w:rsidR="005B3C2E" w:rsidRPr="00871FBF" w:rsidRDefault="005B3C2E" w:rsidP="00FA229A">
      <w:pPr>
        <w:spacing w:after="120" w:line="22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 </w:t>
      </w:r>
      <w:r w:rsidRP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закупки: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 w:rsidRPr="00871FB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 w:rsidRPr="00871FBF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3FFEB931" w14:textId="77777777" w:rsidR="00871FBF" w:rsidRPr="00871FBF" w:rsidRDefault="00524C94" w:rsidP="00FA229A">
      <w:pPr>
        <w:spacing w:after="12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871FBF">
        <w:rPr>
          <w:rFonts w:ascii="Times New Roman" w:hAnsi="Times New Roman" w:cs="Times New Roman"/>
          <w:sz w:val="24"/>
          <w:szCs w:val="24"/>
        </w:rPr>
        <w:t>:</w:t>
      </w:r>
      <w:r w:rsidR="00A14DDC" w:rsidRPr="00871FBF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871FB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871FBF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871FBF" w:rsidRPr="00871FBF">
        <w:rPr>
          <w:rFonts w:ascii="Times New Roman" w:hAnsi="Times New Roman" w:cs="Times New Roman"/>
          <w:sz w:val="24"/>
          <w:szCs w:val="24"/>
        </w:rPr>
        <w:t>участников на соответствие требованиям документации и определение победителя закупки.</w:t>
      </w:r>
    </w:p>
    <w:p w14:paraId="2A136AFD" w14:textId="77777777" w:rsidR="009A63B3" w:rsidRPr="00871FBF" w:rsidRDefault="009A63B3" w:rsidP="00FA229A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45FC2BC0" w14:textId="7851B2F0" w:rsidR="00ED718E" w:rsidRPr="00871FBF" w:rsidRDefault="006A7AA6" w:rsidP="00FA229A">
      <w:pPr>
        <w:spacing w:before="120" w:after="12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ED718E" w:rsidRPr="00871FBF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ED718E" w:rsidRPr="00871FBF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ED718E" w:rsidRPr="00871FB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 w:rsidR="00ED718E" w:rsidRPr="00871FBF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ED718E" w:rsidRPr="00871FBF">
        <w:rPr>
          <w:rFonts w:ascii="Times New Roman" w:hAnsi="Times New Roman" w:cs="Times New Roman"/>
          <w:sz w:val="24"/>
          <w:szCs w:val="24"/>
        </w:rPr>
        <w:t xml:space="preserve"> инженер</w:t>
      </w:r>
      <w:r>
        <w:rPr>
          <w:rFonts w:ascii="Times New Roman" w:hAnsi="Times New Roman" w:cs="Times New Roman"/>
          <w:sz w:val="24"/>
          <w:szCs w:val="24"/>
        </w:rPr>
        <w:t>а Ловцов А.В</w:t>
      </w:r>
      <w:r w:rsidR="00871FBF" w:rsidRPr="00871FBF">
        <w:rPr>
          <w:rFonts w:ascii="Times New Roman" w:hAnsi="Times New Roman" w:cs="Times New Roman"/>
          <w:sz w:val="24"/>
          <w:szCs w:val="24"/>
        </w:rPr>
        <w:t>.</w:t>
      </w:r>
      <w:r w:rsidR="00ED718E" w:rsidRPr="00871FBF">
        <w:rPr>
          <w:rFonts w:ascii="Times New Roman" w:hAnsi="Times New Roman" w:cs="Times New Roman"/>
          <w:sz w:val="24"/>
          <w:szCs w:val="24"/>
        </w:rPr>
        <w:t>;</w:t>
      </w:r>
    </w:p>
    <w:p w14:paraId="7627354C" w14:textId="77777777" w:rsidR="00ED718E" w:rsidRPr="00871FBF" w:rsidRDefault="00ED718E" w:rsidP="00FA229A">
      <w:pPr>
        <w:spacing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59348890" w14:textId="586FCB42" w:rsidR="00ED718E" w:rsidRPr="00871FBF" w:rsidRDefault="00ED718E" w:rsidP="00FA229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</w:t>
      </w:r>
      <w:r w:rsidR="00562C99">
        <w:rPr>
          <w:rFonts w:ascii="Times New Roman" w:hAnsi="Times New Roman" w:cs="Times New Roman"/>
          <w:sz w:val="24"/>
          <w:szCs w:val="24"/>
        </w:rPr>
        <w:t xml:space="preserve"> Кошелев А.Е.</w:t>
      </w:r>
      <w:r w:rsidRPr="00871FBF">
        <w:rPr>
          <w:rFonts w:ascii="Times New Roman" w:hAnsi="Times New Roman" w:cs="Times New Roman"/>
          <w:sz w:val="24"/>
          <w:szCs w:val="24"/>
        </w:rPr>
        <w:t>;</w:t>
      </w:r>
    </w:p>
    <w:p w14:paraId="4F67E224" w14:textId="77777777" w:rsidR="00ED718E" w:rsidRPr="00871FBF" w:rsidRDefault="00ED718E" w:rsidP="00FA229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16CC0BA" w14:textId="0BB80BC4" w:rsidR="00562C99" w:rsidRPr="00871FBF" w:rsidRDefault="00562C99" w:rsidP="00FA229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40D169BE" w14:textId="77777777" w:rsidR="006A7AA6" w:rsidRDefault="006A7AA6" w:rsidP="00FA229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Н.Б.</w:t>
      </w:r>
    </w:p>
    <w:p w14:paraId="685A02CD" w14:textId="77777777" w:rsidR="00ED718E" w:rsidRPr="00871FBF" w:rsidRDefault="00ED718E" w:rsidP="00FA229A">
      <w:pPr>
        <w:spacing w:before="12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02A7093" w14:textId="79283B58" w:rsidR="00ED718E" w:rsidRDefault="00562C99" w:rsidP="00FA229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</w:t>
      </w:r>
    </w:p>
    <w:p w14:paraId="17799A14" w14:textId="338D145C" w:rsidR="00F115C2" w:rsidRPr="00F115C2" w:rsidRDefault="00F115C2" w:rsidP="00F115C2">
      <w:pPr>
        <w:spacing w:before="12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F115C2">
        <w:rPr>
          <w:rFonts w:ascii="Times New Roman" w:hAnsi="Times New Roman" w:cs="Times New Roman"/>
          <w:b/>
          <w:sz w:val="24"/>
          <w:szCs w:val="24"/>
        </w:rPr>
        <w:t>Приглашённые комиссией специалисты</w:t>
      </w:r>
    </w:p>
    <w:p w14:paraId="4652E709" w14:textId="2762CF28" w:rsidR="00F115C2" w:rsidRDefault="00F115C2" w:rsidP="00FA229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ОИТ Кожарко В.А.</w:t>
      </w:r>
    </w:p>
    <w:p w14:paraId="14B20035" w14:textId="52CE9CDC" w:rsidR="00F115C2" w:rsidRPr="00871FBF" w:rsidRDefault="00F115C2" w:rsidP="00FA229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ОФМ Григалюнайте М.П.</w:t>
      </w:r>
    </w:p>
    <w:p w14:paraId="572DAC24" w14:textId="77777777" w:rsidR="00871FBF" w:rsidRPr="00871FBF" w:rsidRDefault="00871FBF" w:rsidP="00FA229A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1BAC5" w14:textId="16B5E89C" w:rsidR="00065740" w:rsidRPr="00871FBF" w:rsidRDefault="009A63B3" w:rsidP="00FA229A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анализа предложений (далее – «Документация») размещены </w:t>
      </w:r>
      <w:r w:rsidR="006A7AA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871FB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A7A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8" w:history="1"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www.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D6DB4E" w14:textId="4022AD7E" w:rsidR="009A63B3" w:rsidRPr="00871FBF" w:rsidRDefault="009A63B3" w:rsidP="00FA229A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2. До окончания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анализе предложений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Извещении о закупке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7AA6">
        <w:rPr>
          <w:rFonts w:ascii="Times New Roman" w:eastAsia="Times New Roman" w:hAnsi="Times New Roman" w:cs="Times New Roman"/>
          <w:sz w:val="24"/>
          <w:szCs w:val="24"/>
        </w:rPr>
        <w:t>26</w:t>
      </w:r>
      <w:r w:rsidR="00871FB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A7A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6467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7AA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 Московскому </w:t>
      </w:r>
      <w:bookmarkStart w:id="2" w:name="padZareg"/>
      <w:bookmarkEnd w:id="2"/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 xml:space="preserve">времени,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AA6">
        <w:rPr>
          <w:rFonts w:ascii="Times New Roman" w:eastAsia="Times New Roman" w:hAnsi="Times New Roman" w:cs="Times New Roman"/>
          <w:sz w:val="24"/>
          <w:szCs w:val="24"/>
        </w:rPr>
        <w:t>5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A7AA6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6A7AA6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426E90"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A7FA9A" w14:textId="77777777" w:rsidR="00B754A5" w:rsidRPr="00871FBF" w:rsidRDefault="00B754A5" w:rsidP="00FA229A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14:paraId="0445D9CA" w14:textId="77777777" w:rsidR="00B754A5" w:rsidRPr="00871FBF" w:rsidRDefault="00B754A5" w:rsidP="00FA229A">
      <w:pPr>
        <w:spacing w:after="24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Участниках закупки отражена в таблице: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395"/>
        <w:gridCol w:w="3562"/>
        <w:gridCol w:w="2693"/>
        <w:gridCol w:w="2268"/>
      </w:tblGrid>
      <w:tr w:rsidR="006A7AA6" w:rsidRPr="00FA229A" w14:paraId="5F13ADD6" w14:textId="4D13DDE8" w:rsidTr="00FA229A">
        <w:tc>
          <w:tcPr>
            <w:tcW w:w="1395" w:type="dxa"/>
            <w:shd w:val="clear" w:color="auto" w:fill="D9D9D9" w:themeFill="background1" w:themeFillShade="D9"/>
          </w:tcPr>
          <w:p w14:paraId="06C0C6D2" w14:textId="77777777" w:rsidR="006A7AA6" w:rsidRPr="00FA229A" w:rsidRDefault="006A7AA6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Порядковый номер заявки</w:t>
            </w:r>
          </w:p>
        </w:tc>
        <w:tc>
          <w:tcPr>
            <w:tcW w:w="3562" w:type="dxa"/>
            <w:shd w:val="clear" w:color="auto" w:fill="D9D9D9" w:themeFill="background1" w:themeFillShade="D9"/>
          </w:tcPr>
          <w:p w14:paraId="2C980EC0" w14:textId="00AD1963" w:rsidR="006A7AA6" w:rsidRPr="00FA229A" w:rsidRDefault="006A7AA6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Дата и время регистрации заявок с окончательным предложением по цене (время Московское)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07AB8E2" w14:textId="77777777" w:rsidR="006A7AA6" w:rsidRPr="00FA229A" w:rsidRDefault="006A7AA6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Наименование участника, ИНН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E34E121" w14:textId="393C3663" w:rsidR="006A7AA6" w:rsidRPr="00FA229A" w:rsidRDefault="006A7AA6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Ценовое предложение участника, руб.</w:t>
            </w:r>
          </w:p>
        </w:tc>
      </w:tr>
      <w:tr w:rsidR="006A7AA6" w:rsidRPr="00FA229A" w14:paraId="1E5D7ACA" w14:textId="1DAD77BF" w:rsidTr="00FA229A">
        <w:tc>
          <w:tcPr>
            <w:tcW w:w="1395" w:type="dxa"/>
            <w:vAlign w:val="center"/>
          </w:tcPr>
          <w:p w14:paraId="1100CEA0" w14:textId="77777777" w:rsidR="006A7AA6" w:rsidRPr="00FA229A" w:rsidRDefault="006A7AA6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62" w:type="dxa"/>
            <w:vAlign w:val="center"/>
          </w:tcPr>
          <w:p w14:paraId="67038878" w14:textId="4DFB5297" w:rsidR="006A7AA6" w:rsidRPr="00FA229A" w:rsidRDefault="00602811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22.08.2025  13:48</w:t>
            </w:r>
          </w:p>
        </w:tc>
        <w:tc>
          <w:tcPr>
            <w:tcW w:w="2693" w:type="dxa"/>
          </w:tcPr>
          <w:p w14:paraId="7F59C885" w14:textId="77777777" w:rsidR="006A7AA6" w:rsidRPr="00FA229A" w:rsidRDefault="00602811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ООО «УЦСБ»</w:t>
            </w:r>
          </w:p>
          <w:p w14:paraId="018675AF" w14:textId="41699909" w:rsidR="00FA229A" w:rsidRPr="00FA229A" w:rsidRDefault="00FA229A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6672235068</w:t>
            </w:r>
          </w:p>
        </w:tc>
        <w:tc>
          <w:tcPr>
            <w:tcW w:w="2268" w:type="dxa"/>
          </w:tcPr>
          <w:p w14:paraId="34D8D234" w14:textId="77777777" w:rsidR="00FA229A" w:rsidRPr="00FA229A" w:rsidRDefault="00602811" w:rsidP="00FA229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3 441 600,00</w:t>
            </w:r>
          </w:p>
          <w:p w14:paraId="22D79C2D" w14:textId="03BAEB12" w:rsidR="006A7AA6" w:rsidRPr="00FA229A" w:rsidRDefault="00602811" w:rsidP="00FA229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включая НДС</w:t>
            </w:r>
          </w:p>
        </w:tc>
      </w:tr>
      <w:tr w:rsidR="006A7AA6" w:rsidRPr="00FA229A" w14:paraId="021DF0B3" w14:textId="448F3041" w:rsidTr="00FA229A">
        <w:tc>
          <w:tcPr>
            <w:tcW w:w="1395" w:type="dxa"/>
            <w:vAlign w:val="center"/>
          </w:tcPr>
          <w:p w14:paraId="033C646A" w14:textId="77777777" w:rsidR="006A7AA6" w:rsidRPr="00FA229A" w:rsidRDefault="006A7AA6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62" w:type="dxa"/>
            <w:vAlign w:val="center"/>
          </w:tcPr>
          <w:p w14:paraId="3EE4EAFF" w14:textId="4119BC11" w:rsidR="006A7AA6" w:rsidRPr="00FA229A" w:rsidRDefault="00602811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25.08.2025  08:51</w:t>
            </w:r>
          </w:p>
        </w:tc>
        <w:tc>
          <w:tcPr>
            <w:tcW w:w="2693" w:type="dxa"/>
          </w:tcPr>
          <w:p w14:paraId="5CD296BC" w14:textId="77777777" w:rsidR="00FA229A" w:rsidRPr="00FA229A" w:rsidRDefault="00602811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АО «Астиаг»</w:t>
            </w:r>
          </w:p>
          <w:p w14:paraId="0809FC3A" w14:textId="7E0339F0" w:rsidR="006A7AA6" w:rsidRPr="00FA229A" w:rsidRDefault="00FA229A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4714002508</w:t>
            </w:r>
          </w:p>
        </w:tc>
        <w:tc>
          <w:tcPr>
            <w:tcW w:w="2268" w:type="dxa"/>
          </w:tcPr>
          <w:p w14:paraId="0F175872" w14:textId="77777777" w:rsidR="00FA229A" w:rsidRPr="00FA229A" w:rsidRDefault="00602811" w:rsidP="00FA229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2 820 000,00</w:t>
            </w:r>
          </w:p>
          <w:p w14:paraId="443B1983" w14:textId="3FDFFDC6" w:rsidR="006A7AA6" w:rsidRPr="00FA229A" w:rsidRDefault="00602811" w:rsidP="00FA229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включая НДС</w:t>
            </w:r>
          </w:p>
        </w:tc>
      </w:tr>
      <w:tr w:rsidR="006A7AA6" w:rsidRPr="00FA229A" w14:paraId="7A8D257C" w14:textId="77777777" w:rsidTr="00FA229A">
        <w:tc>
          <w:tcPr>
            <w:tcW w:w="1395" w:type="dxa"/>
            <w:vAlign w:val="center"/>
          </w:tcPr>
          <w:p w14:paraId="6719D0B8" w14:textId="13E4074D" w:rsidR="006A7AA6" w:rsidRPr="00FA229A" w:rsidRDefault="006A7AA6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62" w:type="dxa"/>
            <w:vAlign w:val="center"/>
          </w:tcPr>
          <w:p w14:paraId="6469096B" w14:textId="7C57BED0" w:rsidR="006A7AA6" w:rsidRPr="00FA229A" w:rsidRDefault="00602811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25.08.2025  12:56</w:t>
            </w:r>
          </w:p>
        </w:tc>
        <w:tc>
          <w:tcPr>
            <w:tcW w:w="2693" w:type="dxa"/>
          </w:tcPr>
          <w:p w14:paraId="5EE321C7" w14:textId="219BF935" w:rsidR="006A7AA6" w:rsidRPr="00FA229A" w:rsidRDefault="00602811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 xml:space="preserve">ООО «СИБ </w:t>
            </w:r>
            <w:r w:rsidR="00DE7EBF">
              <w:rPr>
                <w:rFonts w:ascii="Times New Roman" w:eastAsia="Times New Roman" w:hAnsi="Times New Roman" w:cs="Times New Roman"/>
              </w:rPr>
              <w:t>«</w:t>
            </w:r>
            <w:r w:rsidRPr="00FA229A">
              <w:rPr>
                <w:rFonts w:ascii="Times New Roman" w:eastAsia="Times New Roman" w:hAnsi="Times New Roman" w:cs="Times New Roman"/>
              </w:rPr>
              <w:t>АЛЬПИКС»</w:t>
            </w:r>
          </w:p>
          <w:p w14:paraId="2C9B4143" w14:textId="296EFE1E" w:rsidR="00FA229A" w:rsidRPr="00FA229A" w:rsidRDefault="00FA229A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7452071088</w:t>
            </w:r>
          </w:p>
        </w:tc>
        <w:tc>
          <w:tcPr>
            <w:tcW w:w="2268" w:type="dxa"/>
          </w:tcPr>
          <w:p w14:paraId="21B5F107" w14:textId="77777777" w:rsidR="00FA229A" w:rsidRPr="00FA229A" w:rsidRDefault="00602811" w:rsidP="00FA229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2 700 000,00</w:t>
            </w:r>
          </w:p>
          <w:p w14:paraId="5B2376B0" w14:textId="1C05B322" w:rsidR="006A7AA6" w:rsidRPr="00FA229A" w:rsidRDefault="00602811" w:rsidP="00FA229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НДС не облагается</w:t>
            </w:r>
          </w:p>
        </w:tc>
      </w:tr>
      <w:tr w:rsidR="006A7AA6" w:rsidRPr="00FA229A" w14:paraId="3F9D28D5" w14:textId="77777777" w:rsidTr="00FA229A">
        <w:tc>
          <w:tcPr>
            <w:tcW w:w="1395" w:type="dxa"/>
            <w:vAlign w:val="center"/>
          </w:tcPr>
          <w:p w14:paraId="7C50D649" w14:textId="2DF8D530" w:rsidR="006A7AA6" w:rsidRPr="00FA229A" w:rsidRDefault="006A7AA6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3562" w:type="dxa"/>
            <w:vAlign w:val="center"/>
          </w:tcPr>
          <w:p w14:paraId="4439ABA6" w14:textId="3B528137" w:rsidR="006A7AA6" w:rsidRPr="00FA229A" w:rsidRDefault="00602811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26.08.2025  02:00</w:t>
            </w:r>
          </w:p>
        </w:tc>
        <w:tc>
          <w:tcPr>
            <w:tcW w:w="2693" w:type="dxa"/>
          </w:tcPr>
          <w:p w14:paraId="55A7F0BA" w14:textId="77777777" w:rsidR="006A7AA6" w:rsidRPr="00FA229A" w:rsidRDefault="00602811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ИП Штейнлихт О.А.</w:t>
            </w:r>
          </w:p>
          <w:p w14:paraId="737AE654" w14:textId="64C7245C" w:rsidR="00FA229A" w:rsidRPr="00FA229A" w:rsidRDefault="00FA229A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540552442381</w:t>
            </w:r>
          </w:p>
        </w:tc>
        <w:tc>
          <w:tcPr>
            <w:tcW w:w="2268" w:type="dxa"/>
          </w:tcPr>
          <w:p w14:paraId="714E3B74" w14:textId="77777777" w:rsidR="00FA229A" w:rsidRPr="00FA229A" w:rsidRDefault="00602811" w:rsidP="00FA229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2 890 960,00</w:t>
            </w:r>
          </w:p>
          <w:p w14:paraId="4CE31B5A" w14:textId="13424B44" w:rsidR="006A7AA6" w:rsidRPr="00FA229A" w:rsidRDefault="00602811" w:rsidP="00FA229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НДС не облагается</w:t>
            </w:r>
          </w:p>
        </w:tc>
      </w:tr>
      <w:tr w:rsidR="00602811" w:rsidRPr="00FA229A" w14:paraId="416E1C90" w14:textId="77777777" w:rsidTr="00FA229A">
        <w:tc>
          <w:tcPr>
            <w:tcW w:w="1395" w:type="dxa"/>
            <w:vAlign w:val="center"/>
          </w:tcPr>
          <w:p w14:paraId="57F1601F" w14:textId="3E175F77" w:rsidR="00602811" w:rsidRPr="00FA229A" w:rsidRDefault="00602811" w:rsidP="006028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62" w:type="dxa"/>
          </w:tcPr>
          <w:p w14:paraId="62015B34" w14:textId="304721BB" w:rsidR="00602811" w:rsidRPr="00FA229A" w:rsidRDefault="00602811" w:rsidP="0060281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26.08.2025  11:02</w:t>
            </w:r>
          </w:p>
        </w:tc>
        <w:tc>
          <w:tcPr>
            <w:tcW w:w="2693" w:type="dxa"/>
          </w:tcPr>
          <w:p w14:paraId="69E27724" w14:textId="2AAC04F7" w:rsidR="00602811" w:rsidRPr="00FA229A" w:rsidRDefault="00602811" w:rsidP="0060281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ООО «Б</w:t>
            </w:r>
            <w:r w:rsidR="00FA229A" w:rsidRPr="00FA229A">
              <w:rPr>
                <w:rFonts w:ascii="Times New Roman" w:eastAsia="Times New Roman" w:hAnsi="Times New Roman" w:cs="Times New Roman"/>
              </w:rPr>
              <w:t>астион</w:t>
            </w:r>
            <w:r w:rsidRPr="00FA229A">
              <w:rPr>
                <w:rFonts w:ascii="Times New Roman" w:eastAsia="Times New Roman" w:hAnsi="Times New Roman" w:cs="Times New Roman"/>
              </w:rPr>
              <w:t>»</w:t>
            </w:r>
          </w:p>
          <w:p w14:paraId="6914C0D7" w14:textId="693F9DA2" w:rsidR="00FA229A" w:rsidRPr="00FA229A" w:rsidRDefault="00FA229A" w:rsidP="0060281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9701115327</w:t>
            </w:r>
          </w:p>
        </w:tc>
        <w:tc>
          <w:tcPr>
            <w:tcW w:w="2268" w:type="dxa"/>
          </w:tcPr>
          <w:p w14:paraId="6BB51CEF" w14:textId="77777777" w:rsidR="00FA229A" w:rsidRPr="00FA229A" w:rsidRDefault="00602811" w:rsidP="00FA229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3 191 619,84</w:t>
            </w:r>
          </w:p>
          <w:p w14:paraId="5C36E7F9" w14:textId="329726B8" w:rsidR="00602811" w:rsidRPr="00FA229A" w:rsidRDefault="00602811" w:rsidP="00FA229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включая НДС</w:t>
            </w:r>
          </w:p>
        </w:tc>
      </w:tr>
    </w:tbl>
    <w:p w14:paraId="03525C67" w14:textId="77D7C284"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BF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200BF5">
        <w:rPr>
          <w:rFonts w:ascii="Times New Roman" w:eastAsia="Times New Roman" w:hAnsi="Times New Roman" w:cs="Times New Roman"/>
          <w:sz w:val="24"/>
          <w:szCs w:val="24"/>
        </w:rPr>
        <w:t>9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22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14:paraId="002B3868" w14:textId="77777777" w:rsidTr="00B6338B">
        <w:tc>
          <w:tcPr>
            <w:tcW w:w="846" w:type="dxa"/>
            <w:shd w:val="clear" w:color="auto" w:fill="D9D9D9" w:themeFill="background1" w:themeFillShade="D9"/>
          </w:tcPr>
          <w:p w14:paraId="09AF944B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№ заявки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FD8AF8E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6D3AECC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Соответствие требованиям Документации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1E598FF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Решение о допуске к дальнейшему рассмотрению</w:t>
            </w:r>
          </w:p>
        </w:tc>
      </w:tr>
      <w:tr w:rsidR="00200BF5" w:rsidRPr="009C2A89" w14:paraId="32D38738" w14:textId="77777777" w:rsidTr="007B34DF">
        <w:tc>
          <w:tcPr>
            <w:tcW w:w="846" w:type="dxa"/>
            <w:vAlign w:val="center"/>
          </w:tcPr>
          <w:p w14:paraId="151FADBC" w14:textId="77777777" w:rsidR="00200BF5" w:rsidRPr="009C2A89" w:rsidRDefault="00200BF5" w:rsidP="00200B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06B129BD" w14:textId="77777777" w:rsidR="00200BF5" w:rsidRPr="00FA229A" w:rsidRDefault="00200BF5" w:rsidP="00200B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ООО «УЦСБ»</w:t>
            </w:r>
          </w:p>
          <w:p w14:paraId="18C1D0DC" w14:textId="559ADCAC" w:rsidR="00200BF5" w:rsidRPr="007B34DF" w:rsidRDefault="00200BF5" w:rsidP="00200B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6672235068</w:t>
            </w:r>
          </w:p>
        </w:tc>
        <w:tc>
          <w:tcPr>
            <w:tcW w:w="2693" w:type="dxa"/>
            <w:vAlign w:val="center"/>
          </w:tcPr>
          <w:p w14:paraId="5E764AFB" w14:textId="77777777" w:rsidR="00200BF5" w:rsidRPr="009C2A89" w:rsidRDefault="00200BF5" w:rsidP="00200B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7B276ED3" w14:textId="77777777" w:rsidR="00200BF5" w:rsidRPr="003210A4" w:rsidRDefault="00200BF5" w:rsidP="00200B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200BF5" w:rsidRPr="009C2A89" w14:paraId="2CDB286E" w14:textId="77777777" w:rsidTr="00E100A7">
        <w:tc>
          <w:tcPr>
            <w:tcW w:w="846" w:type="dxa"/>
            <w:vAlign w:val="center"/>
          </w:tcPr>
          <w:p w14:paraId="77F73ED7" w14:textId="77777777" w:rsidR="00200BF5" w:rsidRPr="009C2A89" w:rsidRDefault="00200BF5" w:rsidP="00200B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3110A859" w14:textId="77777777" w:rsidR="00200BF5" w:rsidRPr="00FA229A" w:rsidRDefault="00200BF5" w:rsidP="00200B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АО «Астиаг»</w:t>
            </w:r>
          </w:p>
          <w:p w14:paraId="2B20A0DE" w14:textId="67172D74" w:rsidR="00200BF5" w:rsidRPr="00151866" w:rsidRDefault="00200BF5" w:rsidP="00200B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4714002508</w:t>
            </w:r>
          </w:p>
        </w:tc>
        <w:tc>
          <w:tcPr>
            <w:tcW w:w="2693" w:type="dxa"/>
            <w:vAlign w:val="center"/>
          </w:tcPr>
          <w:p w14:paraId="1DC8258A" w14:textId="77777777" w:rsidR="00200BF5" w:rsidRPr="009C2A89" w:rsidRDefault="00200BF5" w:rsidP="00200B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2254DE26" w14:textId="77777777" w:rsidR="00200BF5" w:rsidRPr="003210A4" w:rsidRDefault="00200BF5" w:rsidP="00200B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DE7EBF" w:rsidRPr="009C2A89" w14:paraId="73A07C4D" w14:textId="77777777" w:rsidTr="00E100A7">
        <w:tc>
          <w:tcPr>
            <w:tcW w:w="846" w:type="dxa"/>
            <w:vAlign w:val="center"/>
          </w:tcPr>
          <w:p w14:paraId="561D9433" w14:textId="6ECD804B" w:rsidR="00DE7EBF" w:rsidRDefault="00DE7EBF" w:rsidP="00DE7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7F37B425" w14:textId="77777777" w:rsidR="00DE7EBF" w:rsidRPr="00FA229A" w:rsidRDefault="00DE7EBF" w:rsidP="00DE7E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ООО «СИБ АЛЬПИКС»</w:t>
            </w:r>
          </w:p>
          <w:p w14:paraId="47CB442A" w14:textId="1706FD0F" w:rsidR="00DE7EBF" w:rsidRPr="00151866" w:rsidRDefault="00DE7EBF" w:rsidP="00DE7E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7452071088</w:t>
            </w:r>
          </w:p>
        </w:tc>
        <w:tc>
          <w:tcPr>
            <w:tcW w:w="2693" w:type="dxa"/>
            <w:vAlign w:val="center"/>
          </w:tcPr>
          <w:p w14:paraId="5C02DEB7" w14:textId="0D562F34" w:rsidR="00DE7EBF" w:rsidRDefault="00DE7EBF" w:rsidP="00DE7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7526FC0D" w14:textId="3E5D9A82" w:rsidR="00DE7EBF" w:rsidRPr="003210A4" w:rsidRDefault="00DE7EBF" w:rsidP="00DE7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DE7EBF" w:rsidRPr="009C2A89" w14:paraId="6FDBD7AB" w14:textId="77777777" w:rsidTr="00E100A7">
        <w:tc>
          <w:tcPr>
            <w:tcW w:w="846" w:type="dxa"/>
            <w:vAlign w:val="center"/>
          </w:tcPr>
          <w:p w14:paraId="178F0AE7" w14:textId="5CBFB3DB" w:rsidR="00DE7EBF" w:rsidRDefault="00DE7EBF" w:rsidP="00DE7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0226E79E" w14:textId="77777777" w:rsidR="00DE7EBF" w:rsidRPr="00FA229A" w:rsidRDefault="00DE7EBF" w:rsidP="00DE7E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ИП Штейнлихт О.А.</w:t>
            </w:r>
          </w:p>
          <w:p w14:paraId="65A20646" w14:textId="29905099" w:rsidR="00DE7EBF" w:rsidRPr="00151866" w:rsidRDefault="00DE7EBF" w:rsidP="00DE7E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540552442381</w:t>
            </w:r>
          </w:p>
        </w:tc>
        <w:tc>
          <w:tcPr>
            <w:tcW w:w="2693" w:type="dxa"/>
            <w:vAlign w:val="center"/>
          </w:tcPr>
          <w:p w14:paraId="13D79AC7" w14:textId="6958B17B" w:rsidR="00DE7EBF" w:rsidRPr="00F115C2" w:rsidRDefault="00DE7EBF" w:rsidP="00DE7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соответствует. Не приложены документы, требуемые закупочной Документацией (п. 2.7.2.5). Приложены т</w:t>
            </w:r>
            <w:r w:rsidRPr="0006646C">
              <w:rPr>
                <w:rFonts w:ascii="Times New Roman" w:eastAsia="Times New Roman" w:hAnsi="Times New Roman" w:cs="Times New Roman"/>
                <w:sz w:val="20"/>
                <w:szCs w:val="20"/>
              </w:rPr>
              <w:t>олько: рекламный буклет, выписка ЕГРЮЛ и сертификат аудитора без перевода на русский язык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рассматривается на основании пунктов </w:t>
            </w:r>
            <w:r w:rsidRPr="0006646C">
              <w:rPr>
                <w:rFonts w:ascii="Times New Roman" w:eastAsia="Times New Roman" w:hAnsi="Times New Roman" w:cs="Times New Roman"/>
                <w:sz w:val="20"/>
                <w:szCs w:val="20"/>
              </w:rPr>
              <w:t>2.4.3.2 и 2.4.3.3 Документации)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5159749F" w14:textId="27FD450B" w:rsidR="00DE7EBF" w:rsidRPr="003210A4" w:rsidRDefault="00DE7EBF" w:rsidP="00DE7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допущен</w:t>
            </w:r>
          </w:p>
        </w:tc>
      </w:tr>
      <w:tr w:rsidR="00DE7EBF" w:rsidRPr="009C2A89" w14:paraId="4577A69F" w14:textId="77777777" w:rsidTr="00E100A7">
        <w:tc>
          <w:tcPr>
            <w:tcW w:w="846" w:type="dxa"/>
            <w:vAlign w:val="center"/>
          </w:tcPr>
          <w:p w14:paraId="593939A4" w14:textId="4163C714" w:rsidR="00DE7EBF" w:rsidRDefault="00DE7EBF" w:rsidP="00DE7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2070B9E7" w14:textId="77777777" w:rsidR="00DE7EBF" w:rsidRPr="00FA229A" w:rsidRDefault="00DE7EBF" w:rsidP="00DE7E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ООО «Бастион»</w:t>
            </w:r>
          </w:p>
          <w:p w14:paraId="036530CF" w14:textId="1F98A5DE" w:rsidR="00DE7EBF" w:rsidRPr="00151866" w:rsidRDefault="00DE7EBF" w:rsidP="00DE7E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9701115327</w:t>
            </w:r>
          </w:p>
        </w:tc>
        <w:tc>
          <w:tcPr>
            <w:tcW w:w="2693" w:type="dxa"/>
            <w:vAlign w:val="center"/>
          </w:tcPr>
          <w:p w14:paraId="5C0E1BB6" w14:textId="5ECF0D23" w:rsidR="00DE7EBF" w:rsidRDefault="00DE7EBF" w:rsidP="00DE7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2449FCE5" w14:textId="4837EEA0" w:rsidR="00DE7EBF" w:rsidRPr="003210A4" w:rsidRDefault="00DE7EBF" w:rsidP="00DE7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14:paraId="6EAAC885" w14:textId="67698BAA"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DE7EBF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</w:t>
      </w:r>
      <w:r w:rsidR="00DE7EBF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DB77E0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66551" w14:textId="0E8024F1" w:rsidR="008A41F5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0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критериями и процедурами оценки </w:t>
      </w:r>
      <w:r w:rsidR="00DE7EBF">
        <w:rPr>
          <w:rFonts w:ascii="Times New Roman" w:eastAsia="Times New Roman" w:hAnsi="Times New Roman" w:cs="Times New Roman"/>
          <w:sz w:val="24"/>
          <w:szCs w:val="24"/>
        </w:rPr>
        <w:t xml:space="preserve">допущенные к рассмотрению </w:t>
      </w:r>
      <w:r w:rsidRPr="00992609">
        <w:rPr>
          <w:rFonts w:ascii="Times New Roman" w:eastAsia="Times New Roman" w:hAnsi="Times New Roman" w:cs="Times New Roman"/>
          <w:sz w:val="24"/>
          <w:szCs w:val="24"/>
        </w:rPr>
        <w:t>предложения Участников были</w:t>
      </w:r>
      <w:r w:rsidR="00DE7EBF">
        <w:rPr>
          <w:rFonts w:ascii="Times New Roman" w:eastAsia="Times New Roman" w:hAnsi="Times New Roman" w:cs="Times New Roman"/>
          <w:sz w:val="24"/>
          <w:szCs w:val="24"/>
        </w:rPr>
        <w:t xml:space="preserve"> оценены и сопоставлены по данным расчётов в Приложении 1 к настоящему Протоколу (файл «Приложение 1 Расчёт критериев.</w:t>
      </w:r>
      <w:r w:rsidR="00DE7EBF">
        <w:rPr>
          <w:rFonts w:ascii="Times New Roman" w:eastAsia="Times New Roman" w:hAnsi="Times New Roman" w:cs="Times New Roman"/>
          <w:sz w:val="24"/>
          <w:szCs w:val="24"/>
          <w:lang w:val="en-US"/>
        </w:rPr>
        <w:t>xlsx</w:t>
      </w:r>
      <w:r w:rsidR="00DE7EBF">
        <w:rPr>
          <w:rFonts w:ascii="Times New Roman" w:eastAsia="Times New Roman" w:hAnsi="Times New Roman" w:cs="Times New Roman"/>
          <w:sz w:val="24"/>
          <w:szCs w:val="24"/>
        </w:rPr>
        <w:t>»)</w:t>
      </w:r>
      <w:r w:rsidR="004B0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9E694D" w14:textId="77777777" w:rsidR="008A41F5" w:rsidRDefault="008A41F5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4E910" w14:textId="37DE6BA7" w:rsidR="008A41F5" w:rsidRDefault="008A41F5" w:rsidP="008A41F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критериям «3. Опыт исполнения аналогичных договоров» и «4. Подтверждение успешного исполнения </w:t>
      </w:r>
      <w:r w:rsidRPr="008F1461">
        <w:rPr>
          <w:rFonts w:ascii="Times New Roman" w:eastAsia="Times New Roman" w:hAnsi="Times New Roman" w:cs="Times New Roman"/>
          <w:sz w:val="24"/>
          <w:szCs w:val="24"/>
          <w:u w:val="single"/>
        </w:rPr>
        <w:t>указанных в пункте 3 договоров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письмами от Заказчиков» проведён следующий анализ: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8A41F5" w14:paraId="1A08EA01" w14:textId="77777777" w:rsidTr="00016E40">
        <w:trPr>
          <w:trHeight w:val="888"/>
        </w:trPr>
        <w:tc>
          <w:tcPr>
            <w:tcW w:w="2547" w:type="dxa"/>
          </w:tcPr>
          <w:p w14:paraId="6650B657" w14:textId="77777777" w:rsidR="008A41F5" w:rsidRPr="00FA229A" w:rsidRDefault="008A41F5" w:rsidP="008A41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ООО «УЦСБ»</w:t>
            </w:r>
          </w:p>
          <w:p w14:paraId="04E6D826" w14:textId="41700BB6" w:rsidR="008A41F5" w:rsidRDefault="008A41F5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6672235068</w:t>
            </w:r>
          </w:p>
        </w:tc>
        <w:tc>
          <w:tcPr>
            <w:tcW w:w="7251" w:type="dxa"/>
          </w:tcPr>
          <w:p w14:paraId="5C1C2E7C" w14:textId="77777777" w:rsidR="008A41F5" w:rsidRDefault="008F1461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по реестру договоров 18 420 946,00</w:t>
            </w:r>
            <w:r w:rsidR="00A60F3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FEDA49" w14:textId="77ED0667" w:rsidR="00A60F3C" w:rsidRPr="003B2341" w:rsidRDefault="00A60F3C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r w:rsidR="003B2341" w:rsidRPr="003B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2341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подтверждённого письмами успешного исполнения договоров 5 765 226,00.</w:t>
            </w:r>
            <w:r w:rsidR="003B2341" w:rsidRPr="003B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41F5" w14:paraId="054D47B9" w14:textId="77777777" w:rsidTr="00016E40">
        <w:trPr>
          <w:trHeight w:val="987"/>
        </w:trPr>
        <w:tc>
          <w:tcPr>
            <w:tcW w:w="2547" w:type="dxa"/>
          </w:tcPr>
          <w:p w14:paraId="027E125F" w14:textId="77777777" w:rsidR="008A41F5" w:rsidRPr="00FA229A" w:rsidRDefault="008A41F5" w:rsidP="008A41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АО «Астиаг»</w:t>
            </w:r>
          </w:p>
          <w:p w14:paraId="6305E6C7" w14:textId="39938467" w:rsidR="008A41F5" w:rsidRDefault="008A41F5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4714002508</w:t>
            </w:r>
          </w:p>
        </w:tc>
        <w:tc>
          <w:tcPr>
            <w:tcW w:w="7251" w:type="dxa"/>
          </w:tcPr>
          <w:p w14:paraId="3DD036BC" w14:textId="77777777" w:rsidR="008A41F5" w:rsidRDefault="003B2341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по реестру договоров 13 882 951,52;</w:t>
            </w:r>
          </w:p>
          <w:p w14:paraId="747345E5" w14:textId="6FC817C3" w:rsidR="003B2341" w:rsidRDefault="003B2341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r w:rsidRPr="003B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подтверждённого письмами успешного исполнения договоров 0,00</w:t>
            </w:r>
          </w:p>
        </w:tc>
      </w:tr>
      <w:tr w:rsidR="008A41F5" w14:paraId="12F4F148" w14:textId="77777777" w:rsidTr="00016E40">
        <w:trPr>
          <w:trHeight w:val="2614"/>
        </w:trPr>
        <w:tc>
          <w:tcPr>
            <w:tcW w:w="2547" w:type="dxa"/>
          </w:tcPr>
          <w:p w14:paraId="6B4B3E9B" w14:textId="77777777" w:rsidR="008A41F5" w:rsidRPr="00FA229A" w:rsidRDefault="008A41F5" w:rsidP="008A41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ООО «СИБ АЛЬПИКС»</w:t>
            </w:r>
          </w:p>
          <w:p w14:paraId="00C53C7B" w14:textId="40ADB353" w:rsidR="008A41F5" w:rsidRDefault="008A41F5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7452071088</w:t>
            </w:r>
          </w:p>
        </w:tc>
        <w:tc>
          <w:tcPr>
            <w:tcW w:w="7251" w:type="dxa"/>
          </w:tcPr>
          <w:p w14:paraId="05EC7D0B" w14:textId="77777777" w:rsidR="008A41F5" w:rsidRDefault="00016E40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по реестру договоров 30 306 980,38;</w:t>
            </w:r>
          </w:p>
          <w:p w14:paraId="23250ECA" w14:textId="54E58C67" w:rsidR="00016E40" w:rsidRDefault="00016E40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r w:rsidRPr="003B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подтверждённого письмами успешного исполнения договоров в Коммерческом предложении заявлена как 30</w:t>
            </w:r>
            <w:r w:rsidR="00982849">
              <w:rPr>
                <w:rFonts w:ascii="Times New Roman" w:eastAsia="Times New Roman" w:hAnsi="Times New Roman" w:cs="Times New Roman"/>
                <w:sz w:val="24"/>
                <w:szCs w:val="24"/>
              </w:rPr>
              <w:t> 306 980,38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т.е. как по каждому из 13 договоров, однако писем приложено всего 11, из них совпадающих по наименованию контрагента только одно на сумму 472 425,00 рублей. Именно это значение может быть принято к расчёту критерия (4. Подтверждение успешного исполнения </w:t>
            </w:r>
            <w:r w:rsidRPr="00016E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указанных в пункте 3 договоров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письмами от Заказчиков).</w:t>
            </w:r>
          </w:p>
          <w:p w14:paraId="29ADFDF9" w14:textId="4940CF4B" w:rsidR="00E22414" w:rsidRDefault="00E22414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Коммерческом предложении в графе «Наличие подтверждающего письма Заказчика» вместо писем даны ссылки на документы о приёмке (Акты сдачи-приёмки). Только по одной позиции указано «Прилагается подтверждающее письмо».</w:t>
            </w:r>
          </w:p>
        </w:tc>
      </w:tr>
      <w:tr w:rsidR="008A41F5" w14:paraId="69903E48" w14:textId="77777777" w:rsidTr="008A41F5">
        <w:tc>
          <w:tcPr>
            <w:tcW w:w="2547" w:type="dxa"/>
          </w:tcPr>
          <w:p w14:paraId="31646EC4" w14:textId="77777777" w:rsidR="008A41F5" w:rsidRPr="00FA229A" w:rsidRDefault="008A41F5" w:rsidP="008A41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lastRenderedPageBreak/>
              <w:t>ООО «Бастион»</w:t>
            </w:r>
          </w:p>
          <w:p w14:paraId="59D9227F" w14:textId="74FA34F5" w:rsidR="008A41F5" w:rsidRDefault="008A41F5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9701115327</w:t>
            </w:r>
          </w:p>
        </w:tc>
        <w:tc>
          <w:tcPr>
            <w:tcW w:w="7251" w:type="dxa"/>
          </w:tcPr>
          <w:p w14:paraId="00D5D2D8" w14:textId="77777777" w:rsidR="008A41F5" w:rsidRDefault="00E22414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по реестру договоров в Коммерческом предложении в строке «Всего» указана как 210 714 423,12; однако пересчёт по строкам даёт сумму 204 713 823,12. Именно это значение может быть принято к расчёту критерия.</w:t>
            </w:r>
          </w:p>
          <w:p w14:paraId="53D57914" w14:textId="77777777" w:rsidR="0061410C" w:rsidRDefault="00E22414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r w:rsidRPr="003B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подтверждённого письмами успешного исполнения договоров в графе «Всего» указана как «42». </w:t>
            </w:r>
            <w:r w:rsidR="00982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этом в графе «Наличие подтверждающего письма Заказчика» вместо писем даны ссылки только на Акты оказанных услуг (сдачи-приёмки выполненных работ) без ссылки на письма. В составе заявки приложены 5 писем, которые невозможно сопоставить с договорами  </w:t>
            </w:r>
            <w:r w:rsidR="00614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 по наименованию контрагента, ни по сумме.</w:t>
            </w:r>
          </w:p>
          <w:p w14:paraId="18E3B58D" w14:textId="77777777" w:rsidR="00E22414" w:rsidRDefault="0061410C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Учитывая изложенные обстоятельства, у Комиссии отсутствуют основания для принятия значения критерия «Сумма</w:t>
            </w:r>
            <w:r w:rsidRPr="003B2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подтверждённого письмами Заказчиков успешного исполнения договоров» иное кроме «0».</w:t>
            </w:r>
          </w:p>
          <w:p w14:paraId="7A0D4154" w14:textId="4C2EDAC8" w:rsidR="0061410C" w:rsidRDefault="0061410C" w:rsidP="008A4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Комиссией принято решение не запрашивать уточнений заявки в этой части, поскольку предположение даже о максимальной сумме приложенных 5 писем (из имеющихся договоров) не приведёт к изменению места (ранга) предложения Участника (доначисленных баллов не хватит для изменения ранга).</w:t>
            </w:r>
          </w:p>
        </w:tc>
      </w:tr>
    </w:tbl>
    <w:p w14:paraId="6AD4C0B4" w14:textId="18EF1F64" w:rsidR="008A41F5" w:rsidRDefault="008A41F5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29309" w14:textId="0111645E" w:rsidR="00824641" w:rsidRDefault="00D23A53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сопоставления заявок и начисления баллов</w:t>
      </w:r>
      <w:r w:rsidR="00DE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предложения Участников</w:t>
      </w:r>
      <w:r w:rsidR="00DE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641" w:rsidRPr="00992609">
        <w:rPr>
          <w:rFonts w:ascii="Times New Roman" w:eastAsia="Times New Roman" w:hAnsi="Times New Roman" w:cs="Times New Roman"/>
          <w:sz w:val="24"/>
          <w:szCs w:val="24"/>
        </w:rPr>
        <w:t>ранжированы следующим образом:</w:t>
      </w:r>
    </w:p>
    <w:p w14:paraId="7B34C836" w14:textId="32F1BD0C" w:rsidR="00DE7EBF" w:rsidRDefault="00DE7EBF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73"/>
        <w:gridCol w:w="4965"/>
        <w:gridCol w:w="3260"/>
      </w:tblGrid>
      <w:tr w:rsidR="00DE7EBF" w14:paraId="41D121B2" w14:textId="77777777" w:rsidTr="00DE7EBF">
        <w:tc>
          <w:tcPr>
            <w:tcW w:w="1573" w:type="dxa"/>
          </w:tcPr>
          <w:p w14:paraId="3AD5AA63" w14:textId="3B704252" w:rsidR="00DE7EBF" w:rsidRDefault="00DE7EBF" w:rsidP="00824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(ранг) предложения</w:t>
            </w:r>
          </w:p>
        </w:tc>
        <w:tc>
          <w:tcPr>
            <w:tcW w:w="4965" w:type="dxa"/>
          </w:tcPr>
          <w:p w14:paraId="31F67062" w14:textId="03FECCBA" w:rsidR="00DE7EBF" w:rsidRDefault="00DE7EBF" w:rsidP="00824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3260" w:type="dxa"/>
          </w:tcPr>
          <w:p w14:paraId="56421FF7" w14:textId="0B34D85A" w:rsidR="00DE7EBF" w:rsidRDefault="00DE7EBF" w:rsidP="00824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баллов (Приложение 1 к настоящему Протоколу)</w:t>
            </w:r>
          </w:p>
        </w:tc>
      </w:tr>
      <w:tr w:rsidR="00DE7EBF" w14:paraId="6ED7426D" w14:textId="77777777" w:rsidTr="00DE7EBF">
        <w:tc>
          <w:tcPr>
            <w:tcW w:w="1573" w:type="dxa"/>
          </w:tcPr>
          <w:p w14:paraId="0F0670C6" w14:textId="314B8B18" w:rsidR="00DE7EBF" w:rsidRDefault="00DE7EBF" w:rsidP="00DE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14:paraId="05211DDF" w14:textId="0737AF68" w:rsidR="00DE7EBF" w:rsidRDefault="00DE7EBF" w:rsidP="00DE7E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ООО «СИБ АЛЬПИКС»</w:t>
            </w:r>
            <w:r>
              <w:rPr>
                <w:rFonts w:ascii="Times New Roman" w:eastAsia="Times New Roman" w:hAnsi="Times New Roman" w:cs="Times New Roman"/>
              </w:rPr>
              <w:t xml:space="preserve"> ИНН </w:t>
            </w:r>
            <w:r w:rsidRPr="00FA229A">
              <w:rPr>
                <w:rFonts w:ascii="Times New Roman" w:eastAsia="Times New Roman" w:hAnsi="Times New Roman" w:cs="Times New Roman"/>
              </w:rPr>
              <w:t>7452071088</w:t>
            </w:r>
          </w:p>
        </w:tc>
        <w:tc>
          <w:tcPr>
            <w:tcW w:w="3260" w:type="dxa"/>
          </w:tcPr>
          <w:p w14:paraId="6283A17E" w14:textId="229F50D8" w:rsidR="00DE7EBF" w:rsidRDefault="00DE7EBF" w:rsidP="00DE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89,92</w:t>
            </w:r>
          </w:p>
        </w:tc>
      </w:tr>
      <w:tr w:rsidR="00DE7EBF" w14:paraId="2285511B" w14:textId="77777777" w:rsidTr="00DE7EBF">
        <w:tc>
          <w:tcPr>
            <w:tcW w:w="1573" w:type="dxa"/>
          </w:tcPr>
          <w:p w14:paraId="531C3FC4" w14:textId="3A23F06F" w:rsidR="00DE7EBF" w:rsidRDefault="00DE7EBF" w:rsidP="00DE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14:paraId="7DC718E4" w14:textId="23FEE14A" w:rsidR="00DE7EBF" w:rsidRDefault="008A41F5" w:rsidP="008A41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АО «Астиаг»</w:t>
            </w:r>
            <w:r>
              <w:rPr>
                <w:rFonts w:ascii="Times New Roman" w:eastAsia="Times New Roman" w:hAnsi="Times New Roman" w:cs="Times New Roman"/>
              </w:rPr>
              <w:t xml:space="preserve"> ИНН </w:t>
            </w:r>
            <w:r w:rsidRPr="00FA229A">
              <w:rPr>
                <w:rFonts w:ascii="Times New Roman" w:eastAsia="Times New Roman" w:hAnsi="Times New Roman" w:cs="Times New Roman"/>
              </w:rPr>
              <w:t>4714002508</w:t>
            </w:r>
          </w:p>
        </w:tc>
        <w:tc>
          <w:tcPr>
            <w:tcW w:w="3260" w:type="dxa"/>
          </w:tcPr>
          <w:p w14:paraId="5A12E919" w14:textId="0E0884C8" w:rsidR="00DE7EBF" w:rsidRDefault="008A41F5" w:rsidP="00DE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85,08</w:t>
            </w:r>
          </w:p>
        </w:tc>
      </w:tr>
      <w:tr w:rsidR="00DE7EBF" w14:paraId="5F600EB4" w14:textId="77777777" w:rsidTr="00DE7EBF">
        <w:tc>
          <w:tcPr>
            <w:tcW w:w="1573" w:type="dxa"/>
          </w:tcPr>
          <w:p w14:paraId="6F85374C" w14:textId="0FCBAE90" w:rsidR="00DE7EBF" w:rsidRDefault="00DE7EBF" w:rsidP="00DE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</w:tcPr>
          <w:p w14:paraId="64A74B2E" w14:textId="68636F25" w:rsidR="00DE7EBF" w:rsidRDefault="008A41F5" w:rsidP="008A41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ООО «Бастион»</w:t>
            </w:r>
            <w:r>
              <w:rPr>
                <w:rFonts w:ascii="Times New Roman" w:eastAsia="Times New Roman" w:hAnsi="Times New Roman" w:cs="Times New Roman"/>
              </w:rPr>
              <w:t xml:space="preserve"> ИНН </w:t>
            </w:r>
            <w:r w:rsidRPr="00FA229A">
              <w:rPr>
                <w:rFonts w:ascii="Times New Roman" w:eastAsia="Times New Roman" w:hAnsi="Times New Roman" w:cs="Times New Roman"/>
              </w:rPr>
              <w:t>9701115327</w:t>
            </w:r>
          </w:p>
        </w:tc>
        <w:tc>
          <w:tcPr>
            <w:tcW w:w="3260" w:type="dxa"/>
          </w:tcPr>
          <w:p w14:paraId="00FC0532" w14:textId="3008F2CF" w:rsidR="00DE7EBF" w:rsidRDefault="008A41F5" w:rsidP="00DE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78,61</w:t>
            </w:r>
          </w:p>
        </w:tc>
      </w:tr>
      <w:tr w:rsidR="00DE7EBF" w14:paraId="38834546" w14:textId="77777777" w:rsidTr="00DE7EBF">
        <w:tc>
          <w:tcPr>
            <w:tcW w:w="1573" w:type="dxa"/>
          </w:tcPr>
          <w:p w14:paraId="0320EA6F" w14:textId="13F494CB" w:rsidR="00DE7EBF" w:rsidRDefault="00DE7EBF" w:rsidP="00DE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5" w:type="dxa"/>
          </w:tcPr>
          <w:p w14:paraId="20CE5781" w14:textId="3C1E6839" w:rsidR="00DE7EBF" w:rsidRDefault="008A41F5" w:rsidP="008A41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A">
              <w:rPr>
                <w:rFonts w:ascii="Times New Roman" w:eastAsia="Times New Roman" w:hAnsi="Times New Roman" w:cs="Times New Roman"/>
              </w:rPr>
              <w:t>ООО «УЦСБ»</w:t>
            </w:r>
            <w:r>
              <w:rPr>
                <w:rFonts w:ascii="Times New Roman" w:eastAsia="Times New Roman" w:hAnsi="Times New Roman" w:cs="Times New Roman"/>
              </w:rPr>
              <w:t xml:space="preserve"> ИНН </w:t>
            </w:r>
            <w:r w:rsidRPr="00FA229A">
              <w:rPr>
                <w:rFonts w:ascii="Times New Roman" w:eastAsia="Times New Roman" w:hAnsi="Times New Roman" w:cs="Times New Roman"/>
              </w:rPr>
              <w:t>6672235068</w:t>
            </w:r>
          </w:p>
        </w:tc>
        <w:tc>
          <w:tcPr>
            <w:tcW w:w="3260" w:type="dxa"/>
          </w:tcPr>
          <w:p w14:paraId="26FFA5AA" w14:textId="1B4F28D8" w:rsidR="00DE7EBF" w:rsidRDefault="008A41F5" w:rsidP="00DE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78,40</w:t>
            </w:r>
          </w:p>
        </w:tc>
      </w:tr>
    </w:tbl>
    <w:p w14:paraId="65FB1C9E" w14:textId="77777777" w:rsidR="008A41F5" w:rsidRDefault="008A41F5" w:rsidP="008A41F5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2C89247C" w14:textId="121E6BF1" w:rsidR="00C44484" w:rsidRDefault="00C44484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итогам анализа предложений лучшей среди допущенных становится заявка </w:t>
      </w:r>
      <w:r w:rsidR="003548B6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ООО </w:t>
      </w:r>
      <w:r w:rsidR="008A41F5" w:rsidRPr="00FA229A">
        <w:rPr>
          <w:rFonts w:ascii="Times New Roman" w:eastAsia="Times New Roman" w:hAnsi="Times New Roman" w:cs="Times New Roman"/>
        </w:rPr>
        <w:t>«СИБ АЛЬПИКС»</w:t>
      </w:r>
      <w:r w:rsidR="008A41F5">
        <w:rPr>
          <w:rFonts w:ascii="Times New Roman" w:eastAsia="Times New Roman" w:hAnsi="Times New Roman" w:cs="Times New Roman"/>
        </w:rPr>
        <w:t xml:space="preserve"> ИНН </w:t>
      </w:r>
      <w:r w:rsidR="008A41F5" w:rsidRPr="00FA229A">
        <w:rPr>
          <w:rFonts w:ascii="Times New Roman" w:eastAsia="Times New Roman" w:hAnsi="Times New Roman" w:cs="Times New Roman"/>
        </w:rPr>
        <w:t>7452071088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244970FB" w14:textId="77777777"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01038E0C" w14:textId="2C579888" w:rsidR="003430FA" w:rsidRDefault="00C44484" w:rsidP="004B6B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анализа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AD4041" w:rsidRPr="00FA229A">
        <w:rPr>
          <w:rFonts w:ascii="Times New Roman" w:eastAsia="Times New Roman" w:hAnsi="Times New Roman" w:cs="Times New Roman"/>
        </w:rPr>
        <w:t>СИБ АЛЬПИКС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0678" w:rsidRPr="000C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общую сумму 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3430FA" w:rsidRPr="003430FA">
        <w:rPr>
          <w:rFonts w:ascii="Times New Roman" w:eastAsia="Times New Roman" w:hAnsi="Times New Roman" w:cs="Times New Roman"/>
          <w:sz w:val="24"/>
          <w:szCs w:val="24"/>
        </w:rPr>
        <w:t>2 700</w:t>
      </w:r>
      <w:r w:rsidR="002C74EC">
        <w:rPr>
          <w:rFonts w:ascii="Times New Roman" w:eastAsia="Times New Roman" w:hAnsi="Times New Roman" w:cs="Times New Roman"/>
          <w:sz w:val="24"/>
          <w:szCs w:val="24"/>
        </w:rPr>
        <w:t> 000,00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 xml:space="preserve"> руб. </w:t>
      </w:r>
      <w:r w:rsidR="003430FA" w:rsidRPr="003430FA">
        <w:rPr>
          <w:rFonts w:ascii="Times New Roman" w:eastAsia="Times New Roman" w:hAnsi="Times New Roman" w:cs="Times New Roman"/>
          <w:sz w:val="24"/>
          <w:szCs w:val="24"/>
        </w:rPr>
        <w:t>(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>НДС</w:t>
      </w:r>
      <w:r w:rsidR="003430FA" w:rsidRPr="00343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0FA">
        <w:rPr>
          <w:rFonts w:ascii="Times New Roman" w:eastAsia="Times New Roman" w:hAnsi="Times New Roman" w:cs="Times New Roman"/>
          <w:sz w:val="24"/>
          <w:szCs w:val="24"/>
        </w:rPr>
        <w:t>не облагается</w:t>
      </w:r>
      <w:r w:rsidR="003430FA" w:rsidRPr="003430FA">
        <w:rPr>
          <w:rFonts w:ascii="Times New Roman" w:eastAsia="Times New Roman" w:hAnsi="Times New Roman" w:cs="Times New Roman"/>
          <w:sz w:val="24"/>
          <w:szCs w:val="24"/>
        </w:rPr>
        <w:t>)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430FA">
        <w:rPr>
          <w:rFonts w:ascii="Times New Roman" w:eastAsia="Times New Roman" w:hAnsi="Times New Roman" w:cs="Times New Roman"/>
          <w:sz w:val="24"/>
          <w:szCs w:val="24"/>
        </w:rPr>
        <w:t>Срок оказания услуг 65 рабочих дней, сроки оплаты 7 рабочих дней на условиях пункта 3.2 проекта договора (Приложение 1 к Документации). Договор заключается на условиях ООО «Иркутскэнергосбыт».</w:t>
      </w:r>
    </w:p>
    <w:p w14:paraId="3BCE0C3D" w14:textId="77777777"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6AB84192" w14:textId="77777777"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FA229A">
      <w:footerReference w:type="default" r:id="rId10"/>
      <w:pgSz w:w="11906" w:h="16838"/>
      <w:pgMar w:top="567" w:right="680" w:bottom="567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EF85" w14:textId="77777777" w:rsidR="00CB55EC" w:rsidRDefault="00CB55EC" w:rsidP="001D011F">
      <w:pPr>
        <w:spacing w:after="0" w:line="240" w:lineRule="auto"/>
      </w:pPr>
      <w:r>
        <w:separator/>
      </w:r>
    </w:p>
  </w:endnote>
  <w:endnote w:type="continuationSeparator" w:id="0">
    <w:p w14:paraId="06E8839F" w14:textId="77777777" w:rsidR="00CB55EC" w:rsidRDefault="00CB55EC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0B1940E1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4DF">
          <w:rPr>
            <w:noProof/>
          </w:rPr>
          <w:t>3</w:t>
        </w:r>
        <w:r>
          <w:fldChar w:fldCharType="end"/>
        </w:r>
      </w:p>
    </w:sdtContent>
  </w:sdt>
  <w:p w14:paraId="62DAA01F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FFA6" w14:textId="77777777" w:rsidR="00CB55EC" w:rsidRDefault="00CB55EC" w:rsidP="001D011F">
      <w:pPr>
        <w:spacing w:after="0" w:line="240" w:lineRule="auto"/>
      </w:pPr>
      <w:r>
        <w:separator/>
      </w:r>
    </w:p>
  </w:footnote>
  <w:footnote w:type="continuationSeparator" w:id="0">
    <w:p w14:paraId="360B1141" w14:textId="77777777" w:rsidR="00CB55EC" w:rsidRDefault="00CB55EC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5"/>
  </w:num>
  <w:num w:numId="35">
    <w:abstractNumId w:val="0"/>
  </w:num>
  <w:num w:numId="36">
    <w:abstractNumId w:val="15"/>
  </w:num>
  <w:num w:numId="37">
    <w:abstractNumId w:val="26"/>
  </w:num>
  <w:num w:numId="38">
    <w:abstractNumId w:val="31"/>
  </w:num>
  <w:num w:numId="39">
    <w:abstractNumId w:val="32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16E40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6646C"/>
    <w:rsid w:val="00073C15"/>
    <w:rsid w:val="00076905"/>
    <w:rsid w:val="00076C07"/>
    <w:rsid w:val="00081A24"/>
    <w:rsid w:val="00081D45"/>
    <w:rsid w:val="0008226B"/>
    <w:rsid w:val="00082E0C"/>
    <w:rsid w:val="00082E5E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0752F"/>
    <w:rsid w:val="00111D60"/>
    <w:rsid w:val="001139DC"/>
    <w:rsid w:val="00116E04"/>
    <w:rsid w:val="00116F5C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71BB4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0BF5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898"/>
    <w:rsid w:val="002A0B0C"/>
    <w:rsid w:val="002A0BDB"/>
    <w:rsid w:val="002A3AE2"/>
    <w:rsid w:val="002B5F16"/>
    <w:rsid w:val="002C0821"/>
    <w:rsid w:val="002C4D51"/>
    <w:rsid w:val="002C74EC"/>
    <w:rsid w:val="002D3265"/>
    <w:rsid w:val="002D704A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430FA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2341"/>
    <w:rsid w:val="003B56D6"/>
    <w:rsid w:val="003C0557"/>
    <w:rsid w:val="003C2D54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258E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01F4"/>
    <w:rsid w:val="004B2887"/>
    <w:rsid w:val="004B30DF"/>
    <w:rsid w:val="004B4313"/>
    <w:rsid w:val="004B6BA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2C99"/>
    <w:rsid w:val="00566BFD"/>
    <w:rsid w:val="00572E10"/>
    <w:rsid w:val="005751CB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02811"/>
    <w:rsid w:val="00611D13"/>
    <w:rsid w:val="00612282"/>
    <w:rsid w:val="00613A45"/>
    <w:rsid w:val="0061410C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A7AA6"/>
    <w:rsid w:val="006B2687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02B76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921"/>
    <w:rsid w:val="007B34DF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1FBF"/>
    <w:rsid w:val="00872C8B"/>
    <w:rsid w:val="00874103"/>
    <w:rsid w:val="00874AEB"/>
    <w:rsid w:val="00884B36"/>
    <w:rsid w:val="00884DF1"/>
    <w:rsid w:val="00890947"/>
    <w:rsid w:val="008A41F5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1461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2849"/>
    <w:rsid w:val="009844C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0F3C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D4041"/>
    <w:rsid w:val="00AF18A2"/>
    <w:rsid w:val="00AF1B97"/>
    <w:rsid w:val="00AF57C2"/>
    <w:rsid w:val="00B04394"/>
    <w:rsid w:val="00B11C8C"/>
    <w:rsid w:val="00B14298"/>
    <w:rsid w:val="00B15CC3"/>
    <w:rsid w:val="00B17213"/>
    <w:rsid w:val="00B20C79"/>
    <w:rsid w:val="00B2223B"/>
    <w:rsid w:val="00B2640E"/>
    <w:rsid w:val="00B26B01"/>
    <w:rsid w:val="00B276FE"/>
    <w:rsid w:val="00B307BB"/>
    <w:rsid w:val="00B35284"/>
    <w:rsid w:val="00B41223"/>
    <w:rsid w:val="00B44CD5"/>
    <w:rsid w:val="00B54AA0"/>
    <w:rsid w:val="00B56205"/>
    <w:rsid w:val="00B622F5"/>
    <w:rsid w:val="00B63066"/>
    <w:rsid w:val="00B6338B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3BE3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574C"/>
    <w:rsid w:val="00C97C67"/>
    <w:rsid w:val="00CA3475"/>
    <w:rsid w:val="00CA4439"/>
    <w:rsid w:val="00CA5426"/>
    <w:rsid w:val="00CA6550"/>
    <w:rsid w:val="00CB46F6"/>
    <w:rsid w:val="00CB55EC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23A53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15A3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66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E7EBF"/>
    <w:rsid w:val="00DF1FC5"/>
    <w:rsid w:val="00DF6002"/>
    <w:rsid w:val="00E03183"/>
    <w:rsid w:val="00E055CC"/>
    <w:rsid w:val="00E1226C"/>
    <w:rsid w:val="00E126D5"/>
    <w:rsid w:val="00E21BBD"/>
    <w:rsid w:val="00E22414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6993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1E3A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5C2"/>
    <w:rsid w:val="00F11738"/>
    <w:rsid w:val="00F11F19"/>
    <w:rsid w:val="00F1213D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92E78"/>
    <w:rsid w:val="00FA229A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394F0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A41F5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  <w:style w:type="character" w:styleId="af2">
    <w:name w:val="Unresolved Mention"/>
    <w:basedOn w:val="a3"/>
    <w:uiPriority w:val="99"/>
    <w:semiHidden/>
    <w:unhideWhenUsed/>
    <w:rsid w:val="00C9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47240-74D6-457B-BF2C-1A8AF685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11</cp:revision>
  <cp:lastPrinted>2024-08-27T00:40:00Z</cp:lastPrinted>
  <dcterms:created xsi:type="dcterms:W3CDTF">2025-09-11T01:14:00Z</dcterms:created>
  <dcterms:modified xsi:type="dcterms:W3CDTF">2025-09-16T08:48:00Z</dcterms:modified>
</cp:coreProperties>
</file>